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2" w:themeFillShade="F2"/>
        <w:tblLook w:val="0420" w:firstRow="1" w:lastRow="0" w:firstColumn="0" w:lastColumn="0" w:noHBand="0" w:noVBand="1"/>
      </w:tblPr>
      <w:tblGrid>
        <w:gridCol w:w="5040"/>
        <w:gridCol w:w="4310"/>
      </w:tblGrid>
      <w:tr w:rsidR="00EA084D" w14:paraId="2EFB3EF1" w14:textId="77777777" w:rsidTr="00EA084D">
        <w:trPr>
          <w:trHeight w:val="1350"/>
        </w:trPr>
        <w:tc>
          <w:tcPr>
            <w:tcW w:w="5040" w:type="dxa"/>
            <w:shd w:val="clear" w:color="auto" w:fill="auto"/>
          </w:tcPr>
          <w:p w14:paraId="0DC8C73A" w14:textId="77777777" w:rsidR="00295145" w:rsidRDefault="00295145" w:rsidP="008674C2">
            <w:pPr>
              <w:rPr>
                <w:b/>
                <w:color w:val="0070C0"/>
                <w:sz w:val="32"/>
                <w:szCs w:val="32"/>
              </w:rPr>
            </w:pPr>
            <w:r>
              <w:rPr>
                <w:b/>
                <w:noProof/>
                <w:color w:val="0070C0"/>
                <w:sz w:val="32"/>
                <w:szCs w:val="32"/>
              </w:rPr>
              <w:drawing>
                <wp:inline distT="0" distB="0" distL="0" distR="0" wp14:anchorId="77AA69C1" wp14:editId="7150704E">
                  <wp:extent cx="2540000" cy="840395"/>
                  <wp:effectExtent l="0" t="0" r="0" b="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983" cy="855278"/>
                          </a:xfrm>
                          <a:prstGeom prst="rect">
                            <a:avLst/>
                          </a:prstGeom>
                        </pic:spPr>
                      </pic:pic>
                    </a:graphicData>
                  </a:graphic>
                </wp:inline>
              </w:drawing>
            </w:r>
          </w:p>
        </w:tc>
        <w:tc>
          <w:tcPr>
            <w:tcW w:w="4310" w:type="dxa"/>
            <w:shd w:val="clear" w:color="auto" w:fill="auto"/>
          </w:tcPr>
          <w:p w14:paraId="6A8FB59D" w14:textId="77777777" w:rsidR="00295145" w:rsidRPr="007A7278" w:rsidRDefault="00295145" w:rsidP="007A7278">
            <w:pPr>
              <w:pStyle w:val="BasicParagraph"/>
              <w:suppressAutoHyphens/>
              <w:spacing w:line="240" w:lineRule="auto"/>
              <w:rPr>
                <w:rFonts w:ascii="Calibri" w:hAnsi="Calibri" w:cs="Calibri"/>
                <w:b/>
                <w:bCs/>
                <w:color w:val="005CBA"/>
                <w:sz w:val="32"/>
                <w:szCs w:val="32"/>
              </w:rPr>
            </w:pPr>
            <w:r w:rsidRPr="007A7278">
              <w:rPr>
                <w:rFonts w:ascii="Calibri" w:hAnsi="Calibri" w:cs="Calibri"/>
                <w:b/>
                <w:bCs/>
                <w:color w:val="005CBA"/>
                <w:sz w:val="32"/>
                <w:szCs w:val="32"/>
              </w:rPr>
              <w:t>ThinkingAheadRoadmap.org</w:t>
            </w:r>
          </w:p>
          <w:p w14:paraId="2637350F" w14:textId="1DB9666C" w:rsidR="00295145" w:rsidRPr="00360787" w:rsidRDefault="00295145" w:rsidP="007A7278">
            <w:pPr>
              <w:pStyle w:val="BasicParagraph"/>
              <w:suppressAutoHyphens/>
              <w:spacing w:line="240" w:lineRule="auto"/>
              <w:rPr>
                <w:rFonts w:ascii="Montserrat" w:hAnsi="Montserrat" w:cs="Montserrat"/>
                <w:color w:val="005CBA"/>
                <w:sz w:val="25"/>
                <w:szCs w:val="25"/>
              </w:rPr>
            </w:pPr>
            <w:r w:rsidRPr="007A7278">
              <w:rPr>
                <w:rFonts w:ascii="Calibri" w:hAnsi="Calibri" w:cs="Calibri"/>
                <w:color w:val="005CBA"/>
                <w:sz w:val="32"/>
                <w:szCs w:val="32"/>
              </w:rPr>
              <w:t>A guide for keeping your money safe as you age</w:t>
            </w:r>
          </w:p>
        </w:tc>
      </w:tr>
    </w:tbl>
    <w:p w14:paraId="0C497B96" w14:textId="11A890A1" w:rsidR="00345685" w:rsidRDefault="00750578" w:rsidP="002405F7">
      <w:pPr>
        <w:rPr>
          <w:b/>
          <w:color w:val="0070C0"/>
          <w:sz w:val="32"/>
          <w:szCs w:val="32"/>
        </w:rPr>
      </w:pPr>
      <w:r>
        <w:rPr>
          <w:b/>
          <w:noProof/>
          <w:color w:val="0070C0"/>
          <w:sz w:val="32"/>
          <w:szCs w:val="32"/>
        </w:rPr>
        <mc:AlternateContent>
          <mc:Choice Requires="wps">
            <w:drawing>
              <wp:anchor distT="0" distB="0" distL="114300" distR="114300" simplePos="0" relativeHeight="251658240" behindDoc="0" locked="0" layoutInCell="1" allowOverlap="1" wp14:anchorId="489C58F1" wp14:editId="238D47B8">
                <wp:simplePos x="0" y="0"/>
                <wp:positionH relativeFrom="column">
                  <wp:posOffset>-9052</wp:posOffset>
                </wp:positionH>
                <wp:positionV relativeFrom="paragraph">
                  <wp:posOffset>227405</wp:posOffset>
                </wp:positionV>
                <wp:extent cx="5966026" cy="0"/>
                <wp:effectExtent l="0" t="25400" r="28575" b="25400"/>
                <wp:wrapNone/>
                <wp:docPr id="4" name="Straight Connector 4"/>
                <wp:cNvGraphicFramePr/>
                <a:graphic xmlns:a="http://schemas.openxmlformats.org/drawingml/2006/main">
                  <a:graphicData uri="http://schemas.microsoft.com/office/word/2010/wordprocessingShape">
                    <wps:wsp>
                      <wps:cNvCnPr/>
                      <wps:spPr>
                        <a:xfrm>
                          <a:off x="0" y="0"/>
                          <a:ext cx="5966026" cy="0"/>
                        </a:xfrm>
                        <a:prstGeom prst="line">
                          <a:avLst/>
                        </a:prstGeom>
                        <a:ln w="508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FCDC0D"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7.9pt" to="46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" strokecolor="#0070c0" strokeweight="4pt">
                <v:stroke joinstyle="miter"/>
              </v:line>
            </w:pict>
          </mc:Fallback>
        </mc:AlternateContent>
      </w:r>
    </w:p>
    <w:p w14:paraId="10AA3730" w14:textId="77777777" w:rsidR="002C6E95" w:rsidRPr="007A7278" w:rsidRDefault="002C6E95" w:rsidP="002C6E95">
      <w:pPr>
        <w:rPr>
          <w:b/>
          <w:bCs/>
          <w:color w:val="0070C0"/>
          <w:sz w:val="36"/>
          <w:szCs w:val="36"/>
        </w:rPr>
      </w:pPr>
      <w:r w:rsidRPr="007A7278">
        <w:rPr>
          <w:b/>
          <w:bCs/>
          <w:color w:val="0070C0"/>
          <w:sz w:val="36"/>
          <w:szCs w:val="36"/>
        </w:rPr>
        <w:t>Introduce the Thinking Ahead Roadmap to Your Community</w:t>
      </w:r>
    </w:p>
    <w:p w14:paraId="6F5AF34D" w14:textId="41C4E479" w:rsidR="002C6E95" w:rsidRPr="002C6E95" w:rsidRDefault="002C6E95" w:rsidP="002C6E95">
      <w:pPr>
        <w:rPr>
          <w:b/>
          <w:bCs/>
          <w:color w:val="0070C0"/>
          <w:sz w:val="28"/>
          <w:szCs w:val="28"/>
        </w:rPr>
      </w:pPr>
      <w:r w:rsidRPr="002C6E95">
        <w:rPr>
          <w:b/>
          <w:bCs/>
          <w:color w:val="0070C0"/>
          <w:sz w:val="28"/>
          <w:szCs w:val="28"/>
        </w:rPr>
        <w:t>We all wa</w:t>
      </w:r>
      <w:r w:rsidR="009B673A">
        <w:rPr>
          <w:b/>
          <w:bCs/>
          <w:color w:val="0070C0"/>
          <w:sz w:val="28"/>
          <w:szCs w:val="28"/>
        </w:rPr>
        <w:t>nt a secure financial future. A</w:t>
      </w:r>
      <w:r w:rsidRPr="002C6E95">
        <w:rPr>
          <w:b/>
          <w:bCs/>
          <w:color w:val="0070C0"/>
          <w:sz w:val="28"/>
          <w:szCs w:val="28"/>
        </w:rPr>
        <w:t xml:space="preserve">t some point, we might experience a serious health issue that will make it challenging to take care of everyday financial matters or to think clearly about money and property.  If we have a partner, they might get sick and be unable to manage our household finances.  But if we do some </w:t>
      </w:r>
      <w:r w:rsidRPr="002C6E95">
        <w:rPr>
          <w:b/>
          <w:bCs/>
          <w:i/>
          <w:iCs/>
          <w:color w:val="0070C0"/>
          <w:sz w:val="28"/>
          <w:szCs w:val="28"/>
        </w:rPr>
        <w:t>advance financial care planning</w:t>
      </w:r>
      <w:r w:rsidRPr="002C6E95">
        <w:rPr>
          <w:b/>
          <w:bCs/>
          <w:color w:val="0070C0"/>
          <w:sz w:val="28"/>
          <w:szCs w:val="28"/>
        </w:rPr>
        <w:t>, we can make sure we have a helper who knows what’s important to us.</w:t>
      </w:r>
      <w:bookmarkStart w:id="0" w:name="_GoBack"/>
      <w:bookmarkEnd w:id="0"/>
    </w:p>
    <w:p w14:paraId="0CD36300" w14:textId="0F34B7DA" w:rsidR="003771C6" w:rsidRPr="00C8576D" w:rsidRDefault="003771C6" w:rsidP="002C6E95">
      <w:pPr>
        <w:rPr>
          <w:b/>
          <w:bCs/>
          <w:color w:val="0070C0"/>
          <w:sz w:val="10"/>
          <w:szCs w:val="10"/>
        </w:rPr>
      </w:pPr>
    </w:p>
    <w:p w14:paraId="1EE138C3" w14:textId="46C1964A" w:rsidR="002C6E95" w:rsidRPr="002C6E95" w:rsidRDefault="002C6E95" w:rsidP="002C6E95">
      <w:pPr>
        <w:rPr>
          <w:sz w:val="28"/>
        </w:rPr>
      </w:pPr>
      <w:r w:rsidRPr="002C6E95">
        <w:rPr>
          <w:sz w:val="28"/>
        </w:rPr>
        <w:t>The Thinking Ahead Roadmap can show you and those in your community six key steps to put a s</w:t>
      </w:r>
      <w:r w:rsidR="009B673A">
        <w:rPr>
          <w:sz w:val="28"/>
        </w:rPr>
        <w:t>ensible and safe plan in place.</w:t>
      </w:r>
      <w:r w:rsidRPr="002C6E95">
        <w:rPr>
          <w:sz w:val="28"/>
        </w:rPr>
        <w:t xml:space="preserve"> You can </w:t>
      </w:r>
      <w:r w:rsidR="009B673A">
        <w:rPr>
          <w:sz w:val="28"/>
        </w:rPr>
        <w:t>share</w:t>
      </w:r>
      <w:r w:rsidRPr="002C6E95">
        <w:rPr>
          <w:sz w:val="28"/>
        </w:rPr>
        <w:t xml:space="preserve"> about these steps using the </w:t>
      </w:r>
      <w:r w:rsidRPr="009B673A">
        <w:rPr>
          <w:i/>
          <w:iCs/>
          <w:sz w:val="28"/>
        </w:rPr>
        <w:t>Thinking Ahead Roadmap presenter tools</w:t>
      </w:r>
      <w:r w:rsidR="009B673A">
        <w:rPr>
          <w:sz w:val="28"/>
        </w:rPr>
        <w:t xml:space="preserve">. </w:t>
      </w:r>
      <w:proofErr w:type="gramStart"/>
      <w:r w:rsidRPr="002C6E95">
        <w:rPr>
          <w:sz w:val="28"/>
        </w:rPr>
        <w:t>Workshops can be led by members of faith-based organizations, senior center staff or volunteers, law practices, financial services firms, healthcare organizations, human resources staff and more</w:t>
      </w:r>
      <w:proofErr w:type="gramEnd"/>
      <w:r w:rsidRPr="002C6E95">
        <w:rPr>
          <w:sz w:val="28"/>
        </w:rPr>
        <w:t>.</w:t>
      </w:r>
    </w:p>
    <w:p w14:paraId="00B69287" w14:textId="4420A340" w:rsidR="002C6E95" w:rsidRPr="002C6E95" w:rsidRDefault="002C6E95" w:rsidP="002C6E95">
      <w:pPr>
        <w:rPr>
          <w:sz w:val="28"/>
        </w:rPr>
      </w:pPr>
      <w:r w:rsidRPr="002C6E95">
        <w:rPr>
          <w:sz w:val="28"/>
        </w:rPr>
        <w:t>To make things simple, the Thinking Ahead Roadmap team has developed a set of materials to create a lively learning experience. The presenter tools encourage active participation, group conversation, and support. You can deliver the full course in a half-day workshop or in three one-hour sessions. The full course includes:</w:t>
      </w:r>
    </w:p>
    <w:p w14:paraId="771FE449" w14:textId="77777777" w:rsidR="002C6E95" w:rsidRPr="002C6E95" w:rsidRDefault="002C6E95" w:rsidP="002C6E95">
      <w:pPr>
        <w:numPr>
          <w:ilvl w:val="0"/>
          <w:numId w:val="17"/>
        </w:numPr>
        <w:rPr>
          <w:sz w:val="28"/>
        </w:rPr>
      </w:pPr>
      <w:r w:rsidRPr="002C6E95">
        <w:rPr>
          <w:sz w:val="28"/>
        </w:rPr>
        <w:t>Facilitator-led group discussions, guided by a PowerPoint presentation</w:t>
      </w:r>
    </w:p>
    <w:p w14:paraId="1D85BAE9" w14:textId="77777777" w:rsidR="002C6E95" w:rsidRPr="002C6E95" w:rsidRDefault="002C6E95" w:rsidP="002C6E95">
      <w:pPr>
        <w:numPr>
          <w:ilvl w:val="0"/>
          <w:numId w:val="17"/>
        </w:numPr>
        <w:rPr>
          <w:sz w:val="28"/>
        </w:rPr>
      </w:pPr>
      <w:r w:rsidRPr="002C6E95">
        <w:rPr>
          <w:sz w:val="28"/>
        </w:rPr>
        <w:t>Peer-to-peer conversations and other engaging group activities</w:t>
      </w:r>
    </w:p>
    <w:p w14:paraId="2E603B5C" w14:textId="614500FA" w:rsidR="002C6E95" w:rsidRPr="002C6E95" w:rsidRDefault="002C6E95" w:rsidP="002C6E95">
      <w:pPr>
        <w:numPr>
          <w:ilvl w:val="0"/>
          <w:numId w:val="17"/>
        </w:numPr>
        <w:rPr>
          <w:sz w:val="28"/>
        </w:rPr>
      </w:pPr>
      <w:r w:rsidRPr="002C6E95">
        <w:rPr>
          <w:sz w:val="28"/>
        </w:rPr>
        <w:t>Individual worksheets that participants can us</w:t>
      </w:r>
      <w:r w:rsidR="009B673A">
        <w:rPr>
          <w:sz w:val="28"/>
        </w:rPr>
        <w:t>e to personalize their planning</w:t>
      </w:r>
    </w:p>
    <w:p w14:paraId="3CD21389" w14:textId="77777777" w:rsidR="002C6E95" w:rsidRPr="002C6E95" w:rsidRDefault="002C6E95" w:rsidP="002C6E95">
      <w:pPr>
        <w:rPr>
          <w:sz w:val="28"/>
        </w:rPr>
      </w:pPr>
    </w:p>
    <w:p w14:paraId="6FEA629E" w14:textId="1404D223" w:rsidR="002C6E95" w:rsidRPr="002C6E95" w:rsidRDefault="002C6E95" w:rsidP="002C6E95">
      <w:pPr>
        <w:rPr>
          <w:sz w:val="28"/>
        </w:rPr>
      </w:pPr>
      <w:r w:rsidRPr="002C6E95">
        <w:rPr>
          <w:sz w:val="28"/>
        </w:rPr>
        <w:lastRenderedPageBreak/>
        <w:t xml:space="preserve">For presenters and audiences short on time, </w:t>
      </w:r>
      <w:proofErr w:type="gramStart"/>
      <w:r w:rsidRPr="002C6E95">
        <w:rPr>
          <w:sz w:val="28"/>
        </w:rPr>
        <w:t>we’ve</w:t>
      </w:r>
      <w:proofErr w:type="gramEnd"/>
      <w:r w:rsidRPr="002C6E95">
        <w:rPr>
          <w:sz w:val="28"/>
        </w:rPr>
        <w:t xml:space="preserve"> developed a one-hour mini course that focuses on the first planning steps to motivate participants to get started</w:t>
      </w:r>
      <w:r w:rsidR="009B673A">
        <w:rPr>
          <w:sz w:val="28"/>
        </w:rPr>
        <w:t>.</w:t>
      </w:r>
      <w:r w:rsidR="00DB2A79">
        <w:rPr>
          <w:sz w:val="28"/>
        </w:rPr>
        <w:t xml:space="preserve"> </w:t>
      </w:r>
      <w:r w:rsidR="009B673A">
        <w:rPr>
          <w:sz w:val="28"/>
        </w:rPr>
        <w:t>P</w:t>
      </w:r>
      <w:r w:rsidR="00DB2A79">
        <w:rPr>
          <w:sz w:val="28"/>
        </w:rPr>
        <w:t>articipants can</w:t>
      </w:r>
      <w:r w:rsidR="009B673A">
        <w:rPr>
          <w:sz w:val="28"/>
        </w:rPr>
        <w:t xml:space="preserve"> follow through on their own. </w:t>
      </w:r>
      <w:r w:rsidRPr="002C6E95">
        <w:rPr>
          <w:sz w:val="28"/>
        </w:rPr>
        <w:t>For the one-hour course, we also provide a PowerPoint and the worksheets.</w:t>
      </w:r>
    </w:p>
    <w:p w14:paraId="6FBC79BE" w14:textId="1D9F9CF4" w:rsidR="002C6E95" w:rsidRPr="002C6E95" w:rsidRDefault="002C6E95" w:rsidP="002C6E95">
      <w:pPr>
        <w:rPr>
          <w:sz w:val="28"/>
        </w:rPr>
      </w:pPr>
      <w:r w:rsidRPr="002C6E95">
        <w:rPr>
          <w:sz w:val="28"/>
        </w:rPr>
        <w:t>Both the full course and the mini course are easily adapted for a</w:t>
      </w:r>
      <w:r w:rsidR="009B673A">
        <w:rPr>
          <w:sz w:val="28"/>
        </w:rPr>
        <w:t xml:space="preserve"> virtual learning environment. </w:t>
      </w:r>
      <w:r w:rsidRPr="002C6E95">
        <w:rPr>
          <w:sz w:val="28"/>
        </w:rPr>
        <w:t xml:space="preserve">You can </w:t>
      </w:r>
      <w:r w:rsidR="009B673A">
        <w:rPr>
          <w:sz w:val="28"/>
        </w:rPr>
        <w:t>share</w:t>
      </w:r>
      <w:r w:rsidRPr="002C6E95">
        <w:rPr>
          <w:sz w:val="28"/>
        </w:rPr>
        <w:t xml:space="preserve"> the PowerP</w:t>
      </w:r>
      <w:r w:rsidR="009B673A">
        <w:rPr>
          <w:sz w:val="28"/>
        </w:rPr>
        <w:t xml:space="preserve">oint on audiovisual platforms. </w:t>
      </w:r>
      <w:r w:rsidRPr="002C6E95">
        <w:rPr>
          <w:sz w:val="28"/>
        </w:rPr>
        <w:t>Depending on the platform’s features, you can make the worksheets available for download directly from the platform or from the Thinking Ahead Roadmap website.</w:t>
      </w:r>
    </w:p>
    <w:p w14:paraId="46A36D4E" w14:textId="7CB62587" w:rsidR="002C6E95" w:rsidRPr="002C6E95" w:rsidRDefault="002C6E95" w:rsidP="002C6E95">
      <w:pPr>
        <w:rPr>
          <w:sz w:val="28"/>
        </w:rPr>
      </w:pPr>
      <w:r w:rsidRPr="002C6E95">
        <w:rPr>
          <w:sz w:val="28"/>
        </w:rPr>
        <w:t>The PowerPoint includes helpful icons to signal when to introduce a worksheet or activity</w:t>
      </w:r>
      <w:r w:rsidR="009B673A">
        <w:rPr>
          <w:sz w:val="28"/>
        </w:rPr>
        <w:t xml:space="preserve"> and how much time to provide. </w:t>
      </w:r>
      <w:r w:rsidRPr="002C6E95">
        <w:rPr>
          <w:sz w:val="28"/>
        </w:rPr>
        <w:t>It also includes</w:t>
      </w:r>
      <w:r w:rsidR="009B673A">
        <w:rPr>
          <w:sz w:val="28"/>
        </w:rPr>
        <w:t xml:space="preserve"> presenter</w:t>
      </w:r>
      <w:r w:rsidRPr="002C6E95">
        <w:rPr>
          <w:sz w:val="28"/>
        </w:rPr>
        <w:t xml:space="preserve"> notes </w:t>
      </w:r>
      <w:r w:rsidR="009B673A">
        <w:rPr>
          <w:sz w:val="28"/>
        </w:rPr>
        <w:t xml:space="preserve">on each slide to help you explain the concepts and elaborate on the material. </w:t>
      </w:r>
      <w:r w:rsidRPr="002C6E95">
        <w:rPr>
          <w:sz w:val="28"/>
        </w:rPr>
        <w:t>This makes the presentation as easy as “plug-and-play” for volunteer facilitators.</w:t>
      </w:r>
    </w:p>
    <w:p w14:paraId="06A525CD" w14:textId="77777777" w:rsidR="002C6E95" w:rsidRPr="002C6E95" w:rsidRDefault="002C6E95" w:rsidP="002C6E95">
      <w:pPr>
        <w:rPr>
          <w:sz w:val="28"/>
        </w:rPr>
      </w:pPr>
      <w:r w:rsidRPr="002C6E95">
        <w:rPr>
          <w:sz w:val="28"/>
        </w:rPr>
        <w:t>The presenter materials of the Thinking Ahead Roadmap are made available by the University of Minnesota as informational resources to the public, for organizations to offer educational programs to their members and communities. These materials found on the Thinking Ahead Roadmap website are not intended to provide legal, financial, or investment advice or serve as a substitute for legal counsel. You have permission to download and use intact the materials on the Thinking Ahead Roadmap website, but not to modify any presentation slide or materials. You may add a title slide and contact information about your organization. You also have permission to remove any slides if you wish to shorten the program. Thank you!</w:t>
      </w:r>
    </w:p>
    <w:p w14:paraId="08A7E27F" w14:textId="77777777" w:rsidR="002C6E95" w:rsidRPr="002C6E95" w:rsidRDefault="002C6E95" w:rsidP="002C6E95">
      <w:pPr>
        <w:rPr>
          <w:sz w:val="28"/>
        </w:rPr>
      </w:pPr>
    </w:p>
    <w:p w14:paraId="7A725598" w14:textId="6BDC381B" w:rsidR="009850EE" w:rsidRPr="00774678" w:rsidRDefault="002C6E95" w:rsidP="007A7278">
      <w:pPr>
        <w:rPr>
          <w:rFonts w:ascii="Arial" w:hAnsi="Arial" w:cs="Arial"/>
          <w:b/>
          <w:bCs/>
          <w:color w:val="005CBA"/>
          <w:sz w:val="25"/>
          <w:szCs w:val="25"/>
        </w:rPr>
      </w:pPr>
      <w:r w:rsidRPr="007A7278">
        <w:rPr>
          <w:b/>
          <w:bCs/>
          <w:sz w:val="28"/>
        </w:rPr>
        <w:t xml:space="preserve">Questions </w:t>
      </w:r>
      <w:r w:rsidR="001D787B">
        <w:rPr>
          <w:b/>
          <w:bCs/>
          <w:sz w:val="28"/>
        </w:rPr>
        <w:t xml:space="preserve">or feedback </w:t>
      </w:r>
      <w:r w:rsidRPr="007A7278">
        <w:rPr>
          <w:b/>
          <w:bCs/>
          <w:sz w:val="28"/>
        </w:rPr>
        <w:t>about the Thinking Ahead Roadmap presenter tools?</w:t>
      </w:r>
      <w:r w:rsidRPr="002C6E95">
        <w:rPr>
          <w:sz w:val="28"/>
        </w:rPr>
        <w:t xml:space="preserve">  </w:t>
      </w:r>
      <w:r>
        <w:rPr>
          <w:sz w:val="28"/>
        </w:rPr>
        <w:br/>
      </w:r>
      <w:r w:rsidRPr="002C6E95">
        <w:rPr>
          <w:sz w:val="28"/>
        </w:rPr>
        <w:t>Contact us here: https://thinkingaheadroadmap.org/contact/</w:t>
      </w:r>
    </w:p>
    <w:sectPr w:rsidR="009850EE" w:rsidRPr="00774678" w:rsidSect="009850EE">
      <w:foot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6D45" w14:textId="77777777" w:rsidR="00533E0F" w:rsidRDefault="00533E0F" w:rsidP="00A72BE9">
      <w:pPr>
        <w:spacing w:after="0" w:line="240" w:lineRule="auto"/>
      </w:pPr>
      <w:r>
        <w:separator/>
      </w:r>
    </w:p>
  </w:endnote>
  <w:endnote w:type="continuationSeparator" w:id="0">
    <w:p w14:paraId="2EE9E17A" w14:textId="77777777" w:rsidR="00533E0F" w:rsidRDefault="00533E0F" w:rsidP="00A7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ontserrat">
    <w:altName w:val="Courier New"/>
    <w:charset w:val="4D"/>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E7F6" w14:textId="77777777" w:rsidR="00951BC1" w:rsidRDefault="00951BC1" w:rsidP="00951BC1">
    <w:pPr>
      <w:pStyle w:val="BasicParagraph"/>
      <w:suppressAutoHyphens/>
      <w:jc w:val="center"/>
      <w:rPr>
        <w:rFonts w:ascii="Arial" w:hAnsi="Arial" w:cs="Arial"/>
        <w:b/>
        <w:bCs/>
        <w:color w:val="005CBA"/>
        <w:sz w:val="25"/>
        <w:szCs w:val="25"/>
      </w:rPr>
    </w:pPr>
  </w:p>
  <w:p w14:paraId="0C49B5D7" w14:textId="77777777" w:rsidR="00951BC1" w:rsidRPr="00774678" w:rsidRDefault="00951BC1" w:rsidP="00951BC1">
    <w:pPr>
      <w:pStyle w:val="BasicParagraph"/>
      <w:suppressAutoHyphens/>
      <w:jc w:val="center"/>
      <w:rPr>
        <w:rFonts w:ascii="Arial" w:hAnsi="Arial" w:cs="Arial"/>
        <w:b/>
        <w:bCs/>
        <w:color w:val="005CBA"/>
        <w:sz w:val="25"/>
        <w:szCs w:val="25"/>
      </w:rPr>
    </w:pPr>
    <w:r w:rsidRPr="00774678">
      <w:rPr>
        <w:rFonts w:ascii="Arial" w:hAnsi="Arial" w:cs="Arial"/>
        <w:b/>
        <w:bCs/>
        <w:color w:val="005CBA"/>
        <w:sz w:val="25"/>
        <w:szCs w:val="25"/>
      </w:rPr>
      <w:t>ThinkingAheadRoadmap.org</w:t>
    </w:r>
  </w:p>
  <w:p w14:paraId="1F9E6283" w14:textId="77777777" w:rsidR="00951BC1" w:rsidRDefault="00951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68585" w14:textId="77777777" w:rsidR="00533E0F" w:rsidRDefault="00533E0F" w:rsidP="00A72BE9">
      <w:pPr>
        <w:spacing w:after="0" w:line="240" w:lineRule="auto"/>
      </w:pPr>
      <w:r>
        <w:separator/>
      </w:r>
    </w:p>
  </w:footnote>
  <w:footnote w:type="continuationSeparator" w:id="0">
    <w:p w14:paraId="4D97AE50" w14:textId="77777777" w:rsidR="00533E0F" w:rsidRDefault="00533E0F" w:rsidP="00A72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261"/>
    <w:multiLevelType w:val="hybridMultilevel"/>
    <w:tmpl w:val="92E863F2"/>
    <w:lvl w:ilvl="0" w:tplc="CFD827A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B81"/>
    <w:multiLevelType w:val="hybridMultilevel"/>
    <w:tmpl w:val="B7FA60D4"/>
    <w:lvl w:ilvl="0" w:tplc="585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265AB"/>
    <w:multiLevelType w:val="hybridMultilevel"/>
    <w:tmpl w:val="E28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70A71"/>
    <w:multiLevelType w:val="multilevel"/>
    <w:tmpl w:val="8C8410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437C89"/>
    <w:multiLevelType w:val="hybridMultilevel"/>
    <w:tmpl w:val="AD02BA56"/>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5468"/>
    <w:multiLevelType w:val="hybridMultilevel"/>
    <w:tmpl w:val="E8B8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E56DB"/>
    <w:multiLevelType w:val="hybridMultilevel"/>
    <w:tmpl w:val="E6087046"/>
    <w:lvl w:ilvl="0" w:tplc="CFD827A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E15F09"/>
    <w:multiLevelType w:val="multilevel"/>
    <w:tmpl w:val="658C37E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9A7A1C"/>
    <w:multiLevelType w:val="multilevel"/>
    <w:tmpl w:val="81225CF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770774"/>
    <w:multiLevelType w:val="multilevel"/>
    <w:tmpl w:val="414EA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9C0755"/>
    <w:multiLevelType w:val="hybridMultilevel"/>
    <w:tmpl w:val="0DBAF34E"/>
    <w:lvl w:ilvl="0" w:tplc="90081E2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090ADB"/>
    <w:multiLevelType w:val="hybridMultilevel"/>
    <w:tmpl w:val="612438B8"/>
    <w:lvl w:ilvl="0" w:tplc="600AD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12853"/>
    <w:multiLevelType w:val="hybridMultilevel"/>
    <w:tmpl w:val="BA5CE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D4CD0"/>
    <w:multiLevelType w:val="multilevel"/>
    <w:tmpl w:val="8C8410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5E5781"/>
    <w:multiLevelType w:val="hybridMultilevel"/>
    <w:tmpl w:val="81225CFC"/>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4F66"/>
    <w:multiLevelType w:val="multilevel"/>
    <w:tmpl w:val="AD02BA5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3F5994"/>
    <w:multiLevelType w:val="multilevel"/>
    <w:tmpl w:val="8BC22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4"/>
  </w:num>
  <w:num w:numId="3">
    <w:abstractNumId w:val="14"/>
  </w:num>
  <w:num w:numId="4">
    <w:abstractNumId w:val="9"/>
  </w:num>
  <w:num w:numId="5">
    <w:abstractNumId w:val="15"/>
  </w:num>
  <w:num w:numId="6">
    <w:abstractNumId w:val="10"/>
  </w:num>
  <w:num w:numId="7">
    <w:abstractNumId w:val="8"/>
  </w:num>
  <w:num w:numId="8">
    <w:abstractNumId w:val="6"/>
  </w:num>
  <w:num w:numId="9">
    <w:abstractNumId w:val="0"/>
  </w:num>
  <w:num w:numId="10">
    <w:abstractNumId w:val="12"/>
  </w:num>
  <w:num w:numId="11">
    <w:abstractNumId w:val="2"/>
  </w:num>
  <w:num w:numId="12">
    <w:abstractNumId w:val="16"/>
  </w:num>
  <w:num w:numId="13">
    <w:abstractNumId w:val="13"/>
  </w:num>
  <w:num w:numId="14">
    <w:abstractNumId w:val="1"/>
  </w:num>
  <w:num w:numId="15">
    <w:abstractNumId w:val="7"/>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D9"/>
    <w:rsid w:val="00022766"/>
    <w:rsid w:val="000276BA"/>
    <w:rsid w:val="001418F7"/>
    <w:rsid w:val="00144A31"/>
    <w:rsid w:val="001A5FCF"/>
    <w:rsid w:val="001C3570"/>
    <w:rsid w:val="001C5BBD"/>
    <w:rsid w:val="001D787B"/>
    <w:rsid w:val="002304AF"/>
    <w:rsid w:val="002325B1"/>
    <w:rsid w:val="002347AD"/>
    <w:rsid w:val="002405F7"/>
    <w:rsid w:val="00243ACA"/>
    <w:rsid w:val="002924A2"/>
    <w:rsid w:val="00295145"/>
    <w:rsid w:val="002C52BF"/>
    <w:rsid w:val="002C6E95"/>
    <w:rsid w:val="002F61CF"/>
    <w:rsid w:val="00316EE7"/>
    <w:rsid w:val="00345685"/>
    <w:rsid w:val="00360787"/>
    <w:rsid w:val="003771C6"/>
    <w:rsid w:val="003D118D"/>
    <w:rsid w:val="003E71D2"/>
    <w:rsid w:val="003F1B69"/>
    <w:rsid w:val="004064DF"/>
    <w:rsid w:val="00425E8F"/>
    <w:rsid w:val="00440F6A"/>
    <w:rsid w:val="00495965"/>
    <w:rsid w:val="004C4427"/>
    <w:rsid w:val="004E28D2"/>
    <w:rsid w:val="0052782E"/>
    <w:rsid w:val="00533E0F"/>
    <w:rsid w:val="005608E2"/>
    <w:rsid w:val="00597F81"/>
    <w:rsid w:val="005F7B75"/>
    <w:rsid w:val="006820BB"/>
    <w:rsid w:val="00694C29"/>
    <w:rsid w:val="006B111F"/>
    <w:rsid w:val="006B356B"/>
    <w:rsid w:val="00750578"/>
    <w:rsid w:val="00773079"/>
    <w:rsid w:val="00774678"/>
    <w:rsid w:val="00796D7E"/>
    <w:rsid w:val="007A64C8"/>
    <w:rsid w:val="007A7278"/>
    <w:rsid w:val="007D372C"/>
    <w:rsid w:val="007D4751"/>
    <w:rsid w:val="008A109D"/>
    <w:rsid w:val="008E3006"/>
    <w:rsid w:val="008F4FE6"/>
    <w:rsid w:val="00951BC1"/>
    <w:rsid w:val="00957950"/>
    <w:rsid w:val="009850EE"/>
    <w:rsid w:val="009B673A"/>
    <w:rsid w:val="009D45D9"/>
    <w:rsid w:val="00A72BE9"/>
    <w:rsid w:val="00A85666"/>
    <w:rsid w:val="00A904C9"/>
    <w:rsid w:val="00AE091B"/>
    <w:rsid w:val="00AE1348"/>
    <w:rsid w:val="00B65BC3"/>
    <w:rsid w:val="00BF2B93"/>
    <w:rsid w:val="00C23E07"/>
    <w:rsid w:val="00C40DF7"/>
    <w:rsid w:val="00C52BFE"/>
    <w:rsid w:val="00C56E95"/>
    <w:rsid w:val="00CD4261"/>
    <w:rsid w:val="00CF1749"/>
    <w:rsid w:val="00D438A5"/>
    <w:rsid w:val="00D5558A"/>
    <w:rsid w:val="00D70F37"/>
    <w:rsid w:val="00D72B0B"/>
    <w:rsid w:val="00DB2A79"/>
    <w:rsid w:val="00DC7DF8"/>
    <w:rsid w:val="00DD2755"/>
    <w:rsid w:val="00DE2150"/>
    <w:rsid w:val="00DE730F"/>
    <w:rsid w:val="00E657C8"/>
    <w:rsid w:val="00EA084D"/>
    <w:rsid w:val="00EA35C8"/>
    <w:rsid w:val="00EE5AFB"/>
    <w:rsid w:val="00F21CCD"/>
    <w:rsid w:val="00F37D8F"/>
    <w:rsid w:val="00F61FEB"/>
    <w:rsid w:val="00FF26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FB61"/>
  <w15:chartTrackingRefBased/>
  <w15:docId w15:val="{E049B6B0-B8D9-402A-89EB-83315F4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5D9"/>
    <w:pPr>
      <w:ind w:left="720"/>
      <w:contextualSpacing/>
    </w:pPr>
  </w:style>
  <w:style w:type="paragraph" w:styleId="Header">
    <w:name w:val="header"/>
    <w:basedOn w:val="Normal"/>
    <w:link w:val="HeaderChar"/>
    <w:uiPriority w:val="99"/>
    <w:unhideWhenUsed/>
    <w:rsid w:val="00A7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E9"/>
  </w:style>
  <w:style w:type="paragraph" w:styleId="Footer">
    <w:name w:val="footer"/>
    <w:basedOn w:val="Normal"/>
    <w:link w:val="FooterChar"/>
    <w:uiPriority w:val="99"/>
    <w:unhideWhenUsed/>
    <w:rsid w:val="00A7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E9"/>
  </w:style>
  <w:style w:type="paragraph" w:styleId="Revision">
    <w:name w:val="Revision"/>
    <w:hidden/>
    <w:uiPriority w:val="99"/>
    <w:semiHidden/>
    <w:rsid w:val="00CD4261"/>
    <w:pPr>
      <w:spacing w:after="0" w:line="240" w:lineRule="auto"/>
    </w:pPr>
  </w:style>
  <w:style w:type="character" w:styleId="CommentReference">
    <w:name w:val="annotation reference"/>
    <w:basedOn w:val="DefaultParagraphFont"/>
    <w:uiPriority w:val="99"/>
    <w:semiHidden/>
    <w:unhideWhenUsed/>
    <w:rsid w:val="000276BA"/>
    <w:rPr>
      <w:sz w:val="16"/>
      <w:szCs w:val="16"/>
    </w:rPr>
  </w:style>
  <w:style w:type="paragraph" w:styleId="CommentText">
    <w:name w:val="annotation text"/>
    <w:basedOn w:val="Normal"/>
    <w:link w:val="CommentTextChar"/>
    <w:uiPriority w:val="99"/>
    <w:semiHidden/>
    <w:unhideWhenUsed/>
    <w:rsid w:val="000276BA"/>
    <w:pPr>
      <w:spacing w:line="240" w:lineRule="auto"/>
    </w:pPr>
    <w:rPr>
      <w:sz w:val="20"/>
      <w:szCs w:val="20"/>
    </w:rPr>
  </w:style>
  <w:style w:type="character" w:customStyle="1" w:styleId="CommentTextChar">
    <w:name w:val="Comment Text Char"/>
    <w:basedOn w:val="DefaultParagraphFont"/>
    <w:link w:val="CommentText"/>
    <w:uiPriority w:val="99"/>
    <w:semiHidden/>
    <w:rsid w:val="000276BA"/>
    <w:rPr>
      <w:sz w:val="20"/>
      <w:szCs w:val="20"/>
    </w:rPr>
  </w:style>
  <w:style w:type="paragraph" w:styleId="CommentSubject">
    <w:name w:val="annotation subject"/>
    <w:basedOn w:val="CommentText"/>
    <w:next w:val="CommentText"/>
    <w:link w:val="CommentSubjectChar"/>
    <w:uiPriority w:val="99"/>
    <w:semiHidden/>
    <w:unhideWhenUsed/>
    <w:rsid w:val="000276BA"/>
    <w:rPr>
      <w:b/>
      <w:bCs/>
    </w:rPr>
  </w:style>
  <w:style w:type="character" w:customStyle="1" w:styleId="CommentSubjectChar">
    <w:name w:val="Comment Subject Char"/>
    <w:basedOn w:val="CommentTextChar"/>
    <w:link w:val="CommentSubject"/>
    <w:uiPriority w:val="99"/>
    <w:semiHidden/>
    <w:rsid w:val="000276BA"/>
    <w:rPr>
      <w:b/>
      <w:bCs/>
      <w:sz w:val="20"/>
      <w:szCs w:val="20"/>
    </w:rPr>
  </w:style>
  <w:style w:type="paragraph" w:styleId="BalloonText">
    <w:name w:val="Balloon Text"/>
    <w:basedOn w:val="Normal"/>
    <w:link w:val="BalloonTextChar"/>
    <w:uiPriority w:val="99"/>
    <w:semiHidden/>
    <w:unhideWhenUsed/>
    <w:rsid w:val="001A5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CF"/>
    <w:rPr>
      <w:rFonts w:ascii="Segoe UI" w:hAnsi="Segoe UI" w:cs="Segoe UI"/>
      <w:sz w:val="18"/>
      <w:szCs w:val="18"/>
    </w:rPr>
  </w:style>
  <w:style w:type="paragraph" w:customStyle="1" w:styleId="BasicParagraph">
    <w:name w:val="[Basic Paragraph]"/>
    <w:basedOn w:val="Normal"/>
    <w:uiPriority w:val="99"/>
    <w:rsid w:val="0077467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DC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A0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EA084D"/>
    <w:pPr>
      <w:numPr>
        <w:numId w:val="5"/>
      </w:numPr>
    </w:pPr>
  </w:style>
  <w:style w:type="numbering" w:customStyle="1" w:styleId="CurrentList2">
    <w:name w:val="Current List2"/>
    <w:uiPriority w:val="99"/>
    <w:rsid w:val="00C56E9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neo theme 0821">
      <a:dk1>
        <a:srgbClr val="999999"/>
      </a:dk1>
      <a:lt1>
        <a:srgbClr val="FFFFFF"/>
      </a:lt1>
      <a:dk2>
        <a:srgbClr val="1C456D"/>
      </a:dk2>
      <a:lt2>
        <a:srgbClr val="FFFFFF"/>
      </a:lt2>
      <a:accent1>
        <a:srgbClr val="7ABC32"/>
      </a:accent1>
      <a:accent2>
        <a:srgbClr val="1C466E"/>
      </a:accent2>
      <a:accent3>
        <a:srgbClr val="619733"/>
      </a:accent3>
      <a:accent4>
        <a:srgbClr val="1C466E"/>
      </a:accent4>
      <a:accent5>
        <a:srgbClr val="018FB1"/>
      </a:accent5>
      <a:accent6>
        <a:srgbClr val="1C466E"/>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4455-0DC1-49AC-B888-92D02E3D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I DeLiema</dc:creator>
  <cp:keywords/>
  <dc:description/>
  <cp:lastModifiedBy>Marguerite I DeLiema</cp:lastModifiedBy>
  <cp:revision>2</cp:revision>
  <dcterms:created xsi:type="dcterms:W3CDTF">2022-11-17T17:50:00Z</dcterms:created>
  <dcterms:modified xsi:type="dcterms:W3CDTF">2022-11-17T17:50:00Z</dcterms:modified>
</cp:coreProperties>
</file>